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B" w:rsidRPr="00C26ED6" w:rsidRDefault="002E7074" w:rsidP="004C2FFB">
      <w:pPr>
        <w:spacing w:line="25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MFL End Points</w:t>
      </w:r>
      <w:bookmarkStart w:id="0" w:name="_GoBack"/>
      <w:bookmarkEnd w:id="0"/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26"/>
        <w:gridCol w:w="2399"/>
        <w:gridCol w:w="2321"/>
        <w:gridCol w:w="2368"/>
        <w:gridCol w:w="2310"/>
        <w:gridCol w:w="2324"/>
      </w:tblGrid>
      <w:tr w:rsidR="004C2FFB" w:rsidRPr="00C26ED6" w:rsidTr="0096347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FFB" w:rsidRPr="00C26ED6" w:rsidRDefault="004C2FFB" w:rsidP="00963472">
            <w:pPr>
              <w:jc w:val="center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A83CBFA" wp14:editId="5D352803">
                  <wp:extent cx="651022" cy="711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0" cy="72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shd w:val="clear" w:color="auto" w:fill="BFBFBF" w:themeFill="background1" w:themeFillShade="BF"/>
            <w:vAlign w:val="center"/>
          </w:tcPr>
          <w:p w:rsidR="004C2FFB" w:rsidRPr="00A22D28" w:rsidRDefault="004C2FFB" w:rsidP="0096347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20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</w:pPr>
            <w:r w:rsidRPr="00A22D28"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  <w:lang w:val="en-US"/>
              </w:rPr>
              <w:t>Understand and respond to spoken language from a variety of resources  (Listening)</w:t>
            </w:r>
          </w:p>
        </w:tc>
        <w:tc>
          <w:tcPr>
            <w:tcW w:w="832" w:type="pct"/>
            <w:shd w:val="clear" w:color="auto" w:fill="BFBFBF" w:themeFill="background1" w:themeFillShade="BF"/>
            <w:vAlign w:val="center"/>
          </w:tcPr>
          <w:p w:rsidR="004C2FFB" w:rsidRPr="00A22D28" w:rsidRDefault="004C2FFB" w:rsidP="0096347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</w:pPr>
            <w:r w:rsidRPr="00A22D28"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  <w:t>Speak with increasing fluency, confidence and spontaneity continually improving the accuracy of their pronunciation and intonation (speaking)</w:t>
            </w:r>
          </w:p>
        </w:tc>
        <w:tc>
          <w:tcPr>
            <w:tcW w:w="849" w:type="pct"/>
            <w:shd w:val="clear" w:color="auto" w:fill="BFBFBF" w:themeFill="background1" w:themeFillShade="BF"/>
            <w:vAlign w:val="center"/>
          </w:tcPr>
          <w:p w:rsidR="004C2FFB" w:rsidRPr="00A22D28" w:rsidRDefault="004C2FFB" w:rsidP="0096347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</w:pPr>
            <w:r w:rsidRPr="00A22D28"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  <w:t>Understand and respond to written language from a variety of authentic resources and develop an appreciation of a range of writing (reading)</w:t>
            </w:r>
          </w:p>
        </w:tc>
        <w:tc>
          <w:tcPr>
            <w:tcW w:w="828" w:type="pct"/>
            <w:shd w:val="clear" w:color="auto" w:fill="BFBFBF" w:themeFill="background1" w:themeFillShade="BF"/>
            <w:vAlign w:val="center"/>
          </w:tcPr>
          <w:p w:rsidR="004C2FFB" w:rsidRPr="00A22D28" w:rsidRDefault="004C2FFB" w:rsidP="0096347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</w:pPr>
            <w:r w:rsidRPr="00A22D28"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  <w:t>Write at varying length for different purposes and audiences (writing)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4C2FFB" w:rsidRPr="00A22D28" w:rsidRDefault="004C2FFB" w:rsidP="0096347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</w:pPr>
            <w:r w:rsidRPr="00A22D28">
              <w:rPr>
                <w:rFonts w:ascii="Segoe UI" w:hAnsi="Segoe UI" w:cs="Segoe UI"/>
                <w:b/>
                <w:color w:val="FFFFFF" w:themeColor="background1"/>
                <w:sz w:val="16"/>
                <w:szCs w:val="17"/>
              </w:rPr>
              <w:t>Use a variety of grammatical structures</w:t>
            </w:r>
          </w:p>
        </w:tc>
      </w:tr>
      <w:tr w:rsidR="004C2FFB" w:rsidRPr="00C26ED6" w:rsidTr="0096347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B" w:rsidRPr="00C26ED6" w:rsidRDefault="004C2FFB" w:rsidP="009634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</w:t>
            </w:r>
          </w:p>
        </w:tc>
        <w:tc>
          <w:tcPr>
            <w:tcW w:w="860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Identify the meanings of simple words and phrases they hear by matching to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an object / picture/ person etc.</w:t>
            </w:r>
          </w:p>
        </w:tc>
        <w:tc>
          <w:tcPr>
            <w:tcW w:w="832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a few familiar spoken words and phrases and respond to simple questions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What’s your name? How are you? e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tc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and other</w:t>
            </w:r>
            <w:r>
              <w:rPr>
                <w:rFonts w:ascii="Segoe UI" w:hAnsi="Segoe UI" w:cs="Segoe UI"/>
                <w:sz w:val="17"/>
                <w:szCs w:val="17"/>
              </w:rPr>
              <w:t>s depending on topics covered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ay or repeat some familiar words and short simple phrases Year 3.</w:t>
            </w:r>
          </w:p>
        </w:tc>
        <w:tc>
          <w:tcPr>
            <w:tcW w:w="849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Identify the meanings of simple words and phrases they see by matching to an object / picture/ person etc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Recognise and read out a few familiar words and phrases and are starting to notice the sound spelling patterns.</w:t>
            </w:r>
          </w:p>
        </w:tc>
        <w:tc>
          <w:tcPr>
            <w:tcW w:w="828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Write or copy a few simple words or symbols accurately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Be a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ware that symbols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accents, umlauts exist and what they do (also capital letters in German).</w:t>
            </w:r>
          </w:p>
        </w:tc>
        <w:tc>
          <w:tcPr>
            <w:tcW w:w="833" w:type="pct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some basic aspects of language structure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gender, definite and indefinite articles, singular and plural, nouns, adjectives.</w:t>
            </w:r>
          </w:p>
          <w:p w:rsidR="004C2FFB" w:rsidRPr="00F94FF1" w:rsidRDefault="004C2FFB" w:rsidP="0096347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  <w:tr w:rsidR="004C2FFB" w:rsidRPr="00C26ED6" w:rsidTr="0096347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B" w:rsidRPr="00C26ED6" w:rsidRDefault="004C2FFB" w:rsidP="009634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4</w:t>
            </w:r>
          </w:p>
        </w:tc>
        <w:tc>
          <w:tcPr>
            <w:tcW w:w="860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a range of familiar spoken phrases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classroom instructions.</w:t>
            </w:r>
          </w:p>
          <w:p w:rsidR="004C2FFB" w:rsidRPr="00F94FF1" w:rsidRDefault="004C2FFB" w:rsidP="0096347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  <w:p w:rsidR="004C2FFB" w:rsidRPr="00F94FF1" w:rsidRDefault="004C2FFB" w:rsidP="00963472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  <w:tc>
          <w:tcPr>
            <w:tcW w:w="832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Ask and answer simple questions and give basic information (including a simple negative statement) </w:t>
            </w:r>
            <w:r>
              <w:rPr>
                <w:rFonts w:ascii="Segoe UI" w:hAnsi="Segoe UI" w:cs="Segoe UI"/>
                <w:sz w:val="17"/>
                <w:szCs w:val="17"/>
              </w:rPr>
              <w:t>based on topics covered in Y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4. 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Take part in a simple conversation and their pronunciation and confidence is improving. 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Observe social conventions when speaking to someone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i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formal and informal greetings and use of ‘you’).</w:t>
            </w:r>
          </w:p>
        </w:tc>
        <w:tc>
          <w:tcPr>
            <w:tcW w:w="849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simple written phrases and match sounds </w:t>
            </w:r>
            <w:proofErr w:type="spellStart"/>
            <w:r w:rsidRPr="00F94FF1">
              <w:rPr>
                <w:rFonts w:ascii="Segoe UI" w:hAnsi="Segoe UI" w:cs="Segoe UI"/>
                <w:sz w:val="17"/>
                <w:szCs w:val="17"/>
              </w:rPr>
              <w:t>to</w:t>
            </w:r>
            <w:proofErr w:type="spellEnd"/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familiar written words as they become more aware of spelling patterns.  </w:t>
            </w:r>
          </w:p>
        </w:tc>
        <w:tc>
          <w:tcPr>
            <w:tcW w:w="828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Write simple, familiar phrases accurately using a writing frame or scaffold.</w:t>
            </w:r>
          </w:p>
        </w:tc>
        <w:tc>
          <w:tcPr>
            <w:tcW w:w="833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some basic aspects of language structure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question words, how to use the negative, the position of the adjective in a sentence and an awareness of word order.</w:t>
            </w:r>
          </w:p>
          <w:p w:rsidR="004C2FFB" w:rsidRPr="00F94FF1" w:rsidRDefault="004C2FFB" w:rsidP="0096347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17"/>
                <w:szCs w:val="17"/>
              </w:rPr>
            </w:pPr>
          </w:p>
        </w:tc>
      </w:tr>
      <w:tr w:rsidR="004C2FFB" w:rsidRPr="00C26ED6" w:rsidTr="0096347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B" w:rsidRPr="00C26ED6" w:rsidRDefault="004C2FFB" w:rsidP="009634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Year 5</w:t>
            </w:r>
          </w:p>
        </w:tc>
        <w:tc>
          <w:tcPr>
            <w:tcW w:w="860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the main points from a spoken passage with some repetition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items from a shopping list, simple opinions about school dep</w:t>
            </w:r>
            <w:r>
              <w:rPr>
                <w:rFonts w:ascii="Segoe UI" w:hAnsi="Segoe UI" w:cs="Segoe UI"/>
                <w:sz w:val="17"/>
                <w:szCs w:val="17"/>
              </w:rPr>
              <w:t>ending on topics taught in Y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5.</w:t>
            </w:r>
          </w:p>
        </w:tc>
        <w:tc>
          <w:tcPr>
            <w:tcW w:w="832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Ask and answer simple questions and use a negative. 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ake part in brief pre-prepared tasks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a weather forecast, a short interview about school, interests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/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transactional role play with increasing confidence and fluency.</w:t>
            </w:r>
          </w:p>
        </w:tc>
        <w:tc>
          <w:tcPr>
            <w:tcW w:w="849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the main points from a short written passage in clear printed script. 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Are beginning to use a bilingual dictionary independently with some success.  </w:t>
            </w:r>
          </w:p>
        </w:tc>
        <w:tc>
          <w:tcPr>
            <w:tcW w:w="828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Write two or three short sentences as a personal response accurately an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d can use reference materials / 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support.  </w:t>
            </w:r>
          </w:p>
        </w:tc>
        <w:tc>
          <w:tcPr>
            <w:tcW w:w="833" w:type="pct"/>
            <w:shd w:val="clear" w:color="auto" w:fill="FFFFFF" w:themeFill="background1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some basic aspects of language structure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how to use personal pronouns, an awareness of verb patterns, word order, use of adjectival agreement with accuracy and the conjugation of some regular high frequency verbs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aimer, </w:t>
            </w:r>
            <w:proofErr w:type="spellStart"/>
            <w:r w:rsidRPr="00F94FF1">
              <w:rPr>
                <w:rFonts w:ascii="Segoe UI" w:hAnsi="Segoe UI" w:cs="Segoe UI"/>
                <w:sz w:val="17"/>
                <w:szCs w:val="17"/>
              </w:rPr>
              <w:t>jouer</w:t>
            </w:r>
            <w:proofErr w:type="spellEnd"/>
            <w:r w:rsidRPr="00F94FF1">
              <w:rPr>
                <w:rFonts w:ascii="Segoe UI" w:hAnsi="Segoe UI" w:cs="Segoe UI"/>
                <w:sz w:val="17"/>
                <w:szCs w:val="17"/>
              </w:rPr>
              <w:t>, porter etc.</w:t>
            </w:r>
          </w:p>
        </w:tc>
      </w:tr>
      <w:tr w:rsidR="004C2FFB" w:rsidRPr="00C26ED6" w:rsidTr="00963472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FB" w:rsidRPr="00C26ED6" w:rsidRDefault="004C2FFB" w:rsidP="0096347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860" w:type="pct"/>
            <w:shd w:val="clear" w:color="auto" w:fill="auto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the main points and some detail from a short spoken passage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someone talking about their friends, their home town, school, likes and dislikes etc.</w:t>
            </w:r>
          </w:p>
        </w:tc>
        <w:tc>
          <w:tcPr>
            <w:tcW w:w="832" w:type="pct"/>
            <w:shd w:val="clear" w:color="auto" w:fill="auto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Take part in longer conversations with increasing spontaneity and fluency. 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Can express simple opinions and their pronunciation is generally confident and accurate.</w:t>
            </w:r>
          </w:p>
        </w:tc>
        <w:tc>
          <w:tcPr>
            <w:tcW w:w="849" w:type="pct"/>
            <w:shd w:val="clear" w:color="auto" w:fill="auto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Understand the main points and some detail including simple opinions of a longer written passage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email, postcard, story, poem, recipe, advert etc.</w:t>
            </w:r>
          </w:p>
        </w:tc>
        <w:tc>
          <w:tcPr>
            <w:tcW w:w="828" w:type="pct"/>
            <w:shd w:val="clear" w:color="auto" w:fill="auto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Write a short text on a familiar topic using reference materials / support.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Write for a range of audiences and purpose.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Use formal and informal ‘you’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833" w:type="pct"/>
            <w:shd w:val="clear" w:color="auto" w:fill="auto"/>
          </w:tcPr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Use basic language structures accurately and with confidence </w:t>
            </w:r>
            <w:r>
              <w:rPr>
                <w:rFonts w:ascii="Segoe UI" w:hAnsi="Segoe UI" w:cs="Segoe UI"/>
                <w:sz w:val="17"/>
                <w:szCs w:val="17"/>
              </w:rPr>
              <w:t>e.g.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 apply correct verb endings to regular and some high frequency irregular ver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bs (faire,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aller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avoir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etre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 xml:space="preserve">Use prepositions and use some adverbial phrases to talk about the past or future in a simple way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e.g. there was / 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there will be.</w:t>
            </w:r>
          </w:p>
          <w:p w:rsidR="004C2FFB" w:rsidRPr="00F94FF1" w:rsidRDefault="004C2FFB" w:rsidP="004C2F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F94FF1">
              <w:rPr>
                <w:rFonts w:ascii="Segoe UI" w:hAnsi="Segoe UI" w:cs="Segoe UI"/>
                <w:sz w:val="17"/>
                <w:szCs w:val="17"/>
              </w:rPr>
              <w:t>Understand the word tense and have an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F94FF1">
              <w:rPr>
                <w:rFonts w:ascii="Segoe UI" w:hAnsi="Segoe UI" w:cs="Segoe UI"/>
                <w:sz w:val="17"/>
                <w:szCs w:val="17"/>
              </w:rPr>
              <w:t>awareness that whether an event is ongoing or finished can be expressed differently in a FL compared to English.</w:t>
            </w:r>
          </w:p>
        </w:tc>
      </w:tr>
    </w:tbl>
    <w:p w:rsidR="00FC267F" w:rsidRDefault="00FC267F"/>
    <w:sectPr w:rsidR="00FC267F" w:rsidSect="004C2F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91A"/>
    <w:multiLevelType w:val="hybridMultilevel"/>
    <w:tmpl w:val="CBA053BC"/>
    <w:lvl w:ilvl="0" w:tplc="A8AAF948">
      <w:start w:val="1"/>
      <w:numFmt w:val="bullet"/>
      <w:lvlText w:val=""/>
      <w:lvlJc w:val="left"/>
      <w:pPr>
        <w:ind w:left="227" w:hanging="227"/>
      </w:pPr>
      <w:rPr>
        <w:rFonts w:ascii="Wingdings 3" w:hAnsi="Wingdings 3" w:hint="default"/>
        <w:color w:val="9BBB59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FB"/>
    <w:rsid w:val="002E7074"/>
    <w:rsid w:val="004C2FFB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EB46"/>
  <w15:chartTrackingRefBased/>
  <w15:docId w15:val="{977E16AB-D1F8-47D0-BE57-B4157F3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F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2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F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Bailey</dc:creator>
  <cp:keywords/>
  <dc:description/>
  <cp:lastModifiedBy>N Bailey</cp:lastModifiedBy>
  <cp:revision>2</cp:revision>
  <dcterms:created xsi:type="dcterms:W3CDTF">2021-11-29T19:20:00Z</dcterms:created>
  <dcterms:modified xsi:type="dcterms:W3CDTF">2021-11-29T19:22:00Z</dcterms:modified>
</cp:coreProperties>
</file>