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5" w:rsidRDefault="00FF2598">
      <w:pPr>
        <w:rPr>
          <w:sz w:val="28"/>
          <w:szCs w:val="28"/>
        </w:rPr>
      </w:pPr>
      <w:r w:rsidRPr="00FF2598">
        <w:rPr>
          <w:sz w:val="28"/>
          <w:szCs w:val="28"/>
        </w:rPr>
        <w:t xml:space="preserve">End of year expectations – Year </w:t>
      </w:r>
      <w:r w:rsidR="00487FD2">
        <w:rPr>
          <w:sz w:val="28"/>
          <w:szCs w:val="28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3607"/>
        <w:gridCol w:w="2940"/>
      </w:tblGrid>
      <w:tr w:rsidR="00487FD2" w:rsidTr="00A74CDB">
        <w:trPr>
          <w:trHeight w:val="586"/>
        </w:trPr>
        <w:tc>
          <w:tcPr>
            <w:tcW w:w="2469" w:type="dxa"/>
            <w:shd w:val="clear" w:color="auto" w:fill="FFFFFF" w:themeFill="background1"/>
            <w:vAlign w:val="center"/>
          </w:tcPr>
          <w:p w:rsidR="00487FD2" w:rsidRPr="00E50D50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Driver Words</w:t>
            </w:r>
          </w:p>
        </w:tc>
        <w:tc>
          <w:tcPr>
            <w:tcW w:w="4585" w:type="dxa"/>
            <w:vAlign w:val="center"/>
          </w:tcPr>
          <w:p w:rsidR="00487FD2" w:rsidRPr="00E50D50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In Year Six This Means</w:t>
            </w:r>
          </w:p>
        </w:tc>
        <w:tc>
          <w:tcPr>
            <w:tcW w:w="3585" w:type="dxa"/>
            <w:vAlign w:val="center"/>
          </w:tcPr>
          <w:p w:rsidR="00487FD2" w:rsidRPr="005D3D60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</w:tr>
      <w:tr w:rsidR="00487FD2" w:rsidTr="00A74CDB">
        <w:trPr>
          <w:trHeight w:val="4556"/>
        </w:trPr>
        <w:tc>
          <w:tcPr>
            <w:tcW w:w="2469" w:type="dxa"/>
            <w:shd w:val="clear" w:color="auto" w:fill="DAEEF3"/>
            <w:vAlign w:val="center"/>
          </w:tcPr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AT1</w:t>
            </w:r>
          </w:p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B18903" wp14:editId="29E1E99E">
                  <wp:extent cx="1281603" cy="173863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8" t="3040" r="3715" b="3323"/>
                          <a:stretch/>
                        </pic:blipFill>
                        <pic:spPr bwMode="auto">
                          <a:xfrm>
                            <a:off x="0" y="0"/>
                            <a:ext cx="1304427" cy="1769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487FD2" w:rsidRPr="00E50D50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4585" w:type="dxa"/>
          </w:tcPr>
          <w:p w:rsidR="00487FD2" w:rsidRPr="00A50698" w:rsidRDefault="00487FD2" w:rsidP="00A74CDB">
            <w:pP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I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can 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describe </w:t>
            </w:r>
            <w:r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>and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show understanding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of 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  <w:u w:val="single"/>
              </w:rPr>
              <w:t>some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religious </w:t>
            </w:r>
            <w:proofErr w:type="gramStart"/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sources</w:t>
            </w:r>
            <w:proofErr w:type="gramEnd"/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beliefs, ideas, feelings </w:t>
            </w:r>
            <w: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and 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experiences, 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>making links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between them. (</w:t>
            </w:r>
            <w:proofErr w:type="spellStart"/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A50698">
              <w:rPr>
                <w:rFonts w:ascii="Twinkl" w:eastAsia="Calibri" w:hAnsi="Twinkl" w:cs="Times New Roman"/>
                <w:b/>
                <w:bCs/>
                <w:color w:val="000000" w:themeColor="text1"/>
                <w:sz w:val="28"/>
                <w:szCs w:val="28"/>
              </w:rPr>
              <w:t>Make Links</w:t>
            </w:r>
          </w:p>
          <w:p w:rsidR="00487FD2" w:rsidRPr="00082D35" w:rsidRDefault="00487FD2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487FD2" w:rsidRPr="00A50698" w:rsidRDefault="00487FD2" w:rsidP="00A74CDB">
            <w:pP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I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can 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>use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religious terms to 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>show an understanding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of </w:t>
            </w:r>
            <w:r w:rsidRPr="00A50698">
              <w:rPr>
                <w:rFonts w:ascii="Twinkl" w:eastAsia="Calibri" w:hAnsi="Twinkl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many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different liturgies. (ii) </w:t>
            </w:r>
            <w:r w:rsidRPr="00A50698">
              <w:rPr>
                <w:rFonts w:ascii="Twinkl" w:eastAsia="Calibri" w:hAnsi="Twinkl" w:cs="Times New Roman"/>
                <w:b/>
                <w:bCs/>
                <w:color w:val="000000" w:themeColor="text1"/>
                <w:sz w:val="28"/>
                <w:szCs w:val="28"/>
              </w:rPr>
              <w:t>Give Reasons</w:t>
            </w:r>
          </w:p>
          <w:p w:rsidR="00487FD2" w:rsidRPr="00082D35" w:rsidRDefault="00487FD2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487FD2" w:rsidRDefault="00487FD2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I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can 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>show some understanding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of how religious belief shapes life in different ways and how Christians 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  <w:u w:val="single"/>
              </w:rPr>
              <w:t>live out</w:t>
            </w:r>
            <w:r w:rsidRPr="00A50698">
              <w:rPr>
                <w:rFonts w:ascii="Twinkl" w:eastAsia="Calibri" w:hAnsi="Twinkl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these beliefs. (iii) </w:t>
            </w:r>
            <w:r w:rsidRPr="00A50698">
              <w:rPr>
                <w:rFonts w:ascii="Twinkl" w:eastAsia="Calibri" w:hAnsi="Twinkl" w:cs="Times New Roman"/>
                <w:b/>
                <w:bCs/>
                <w:color w:val="000000" w:themeColor="text1"/>
                <w:sz w:val="28"/>
                <w:szCs w:val="28"/>
              </w:rPr>
              <w:t>Live it out</w:t>
            </w:r>
          </w:p>
        </w:tc>
        <w:tc>
          <w:tcPr>
            <w:tcW w:w="3585" w:type="dxa"/>
            <w:vAlign w:val="center"/>
          </w:tcPr>
          <w:p w:rsidR="00487FD2" w:rsidRPr="002467D9" w:rsidRDefault="00487FD2" w:rsidP="00A74CDB">
            <w:pPr>
              <w:spacing w:after="120"/>
              <w:rPr>
                <w:rFonts w:ascii="Twinkl" w:hAnsi="Twinkl"/>
                <w:b/>
                <w:sz w:val="28"/>
                <w:szCs w:val="28"/>
              </w:rPr>
            </w:pPr>
            <w:r w:rsidRPr="002467D9">
              <w:rPr>
                <w:rFonts w:ascii="Twinkl" w:hAnsi="Twinkl"/>
                <w:b/>
                <w:sz w:val="28"/>
                <w:szCs w:val="28"/>
              </w:rPr>
              <w:t>Both links and reasons can be shaped by some of the following statements;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In the words of Pope Francis…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 xml:space="preserve">This links to the words of the Hail Mary because... 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In the Bible, we are told….</w:t>
            </w:r>
            <w:r>
              <w:rPr>
                <w:rFonts w:ascii="Twinkl" w:hAnsi="Twinkl"/>
                <w:sz w:val="28"/>
                <w:szCs w:val="28"/>
              </w:rPr>
              <w:t xml:space="preserve">  This can shape our Christian beliefs by ….</w:t>
            </w:r>
            <w:r w:rsidRPr="005D3D60">
              <w:rPr>
                <w:rFonts w:ascii="Twinkl" w:hAnsi="Twinkl"/>
                <w:sz w:val="28"/>
                <w:szCs w:val="28"/>
              </w:rPr>
              <w:t xml:space="preserve"> 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As it tells us in Our Father….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The Sacrament of Reconciliation allows us to….</w:t>
            </w:r>
          </w:p>
        </w:tc>
      </w:tr>
      <w:tr w:rsidR="00487FD2" w:rsidTr="00A74CDB">
        <w:trPr>
          <w:trHeight w:val="3031"/>
        </w:trPr>
        <w:tc>
          <w:tcPr>
            <w:tcW w:w="2469" w:type="dxa"/>
            <w:shd w:val="clear" w:color="auto" w:fill="92D050"/>
            <w:vAlign w:val="center"/>
          </w:tcPr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AT2</w:t>
            </w:r>
          </w:p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CC2EB5" wp14:editId="6628CD90">
                  <wp:extent cx="1355680" cy="116713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7" t="5409" r="5919" b="4093"/>
                          <a:stretch/>
                        </pic:blipFill>
                        <pic:spPr bwMode="auto">
                          <a:xfrm>
                            <a:off x="0" y="0"/>
                            <a:ext cx="1377783" cy="118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7FD2" w:rsidRPr="00E50D50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4585" w:type="dxa"/>
            <w:vAlign w:val="center"/>
          </w:tcPr>
          <w:p w:rsidR="00487FD2" w:rsidRPr="00A50698" w:rsidRDefault="00487FD2" w:rsidP="00A74CDB">
            <w:pPr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</w:pP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I can confidently </w:t>
            </w:r>
            <w:r w:rsidRPr="00A50698">
              <w:rPr>
                <w:rFonts w:ascii="Twinkl" w:eastAsia="Calibri" w:hAnsi="Twinkl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show how</w:t>
            </w:r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 xml:space="preserve"> my own and others’ decisions are informed by beliefs and values. (</w:t>
            </w:r>
            <w:proofErr w:type="spellStart"/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i</w:t>
            </w:r>
            <w:proofErr w:type="spellEnd"/>
            <w:r w:rsidRPr="00A50698"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  <w:t>)</w:t>
            </w:r>
          </w:p>
          <w:p w:rsidR="00487FD2" w:rsidRPr="00A50698" w:rsidRDefault="00487FD2" w:rsidP="00A74CDB">
            <w:pPr>
              <w:ind w:left="313" w:hanging="313"/>
              <w:rPr>
                <w:rFonts w:ascii="Twinkl" w:eastAsia="Calibri" w:hAnsi="Twinkl" w:cs="Times New Roman"/>
                <w:color w:val="000000" w:themeColor="text1"/>
                <w:sz w:val="28"/>
                <w:szCs w:val="28"/>
              </w:rPr>
            </w:pPr>
          </w:p>
          <w:p w:rsidR="00487FD2" w:rsidRPr="00082D35" w:rsidRDefault="00487FD2" w:rsidP="00A74CDB">
            <w:pPr>
              <w:rPr>
                <w:rFonts w:ascii="Twinkl" w:hAnsi="Twinkl"/>
                <w:sz w:val="28"/>
                <w:szCs w:val="28"/>
              </w:rPr>
            </w:pPr>
            <w:r w:rsidRPr="00A50698">
              <w:rPr>
                <w:rFonts w:ascii="Twinkl" w:eastAsia="Times New Roman" w:hAnsi="Twinkl" w:cs="Times New Roman"/>
                <w:color w:val="000000" w:themeColor="text1"/>
                <w:sz w:val="28"/>
                <w:szCs w:val="28"/>
                <w:lang w:eastAsia="en-GB"/>
              </w:rPr>
              <w:t xml:space="preserve">I can </w:t>
            </w:r>
            <w:r w:rsidRPr="00A50698">
              <w:rPr>
                <w:rFonts w:ascii="Twinkl" w:eastAsia="Calibri" w:hAnsi="Twinkl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engage in some discussion</w:t>
            </w:r>
            <w:r w:rsidRPr="00A50698">
              <w:rPr>
                <w:rFonts w:ascii="Twinkl" w:eastAsia="Times New Roman" w:hAnsi="Twinkl" w:cs="Times New Roman"/>
                <w:color w:val="000000" w:themeColor="text1"/>
                <w:sz w:val="28"/>
                <w:szCs w:val="28"/>
                <w:lang w:eastAsia="en-GB"/>
              </w:rPr>
              <w:t xml:space="preserve"> about questions of life, in light of religious teaching (ii)</w:t>
            </w:r>
          </w:p>
        </w:tc>
        <w:tc>
          <w:tcPr>
            <w:tcW w:w="3585" w:type="dxa"/>
            <w:vAlign w:val="center"/>
          </w:tcPr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 xml:space="preserve">In following the footsteps of Jesus, I can…. 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By following my Christian beliefs</w:t>
            </w:r>
            <w:r>
              <w:rPr>
                <w:rFonts w:ascii="Twinkl" w:hAnsi="Twinkl"/>
                <w:sz w:val="28"/>
                <w:szCs w:val="28"/>
              </w:rPr>
              <w:t>,</w:t>
            </w:r>
            <w:r w:rsidRPr="005D3D60">
              <w:rPr>
                <w:rFonts w:ascii="Twinkl" w:hAnsi="Twinkl"/>
                <w:sz w:val="28"/>
                <w:szCs w:val="28"/>
              </w:rPr>
              <w:t xml:space="preserve"> I can… </w:t>
            </w:r>
          </w:p>
          <w:p w:rsidR="00487FD2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Having compared my ideas with Sean Devereux I would also</w:t>
            </w:r>
            <w:r>
              <w:rPr>
                <w:rFonts w:ascii="Twinkl" w:hAnsi="Twinkl"/>
                <w:sz w:val="28"/>
                <w:szCs w:val="28"/>
              </w:rPr>
              <w:t>..</w:t>
            </w:r>
            <w:r w:rsidRPr="005D3D60">
              <w:rPr>
                <w:rFonts w:ascii="Twinkl" w:hAnsi="Twinkl"/>
                <w:sz w:val="28"/>
                <w:szCs w:val="28"/>
              </w:rPr>
              <w:t>.</w:t>
            </w:r>
          </w:p>
          <w:p w:rsidR="00487FD2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</w:p>
          <w:p w:rsidR="00487FD2" w:rsidRPr="002467D9" w:rsidRDefault="00487FD2" w:rsidP="00A74CDB">
            <w:pPr>
              <w:rPr>
                <w:rFonts w:cstheme="minorHAnsi"/>
                <w:sz w:val="28"/>
                <w:szCs w:val="28"/>
              </w:rPr>
            </w:pPr>
            <w:r w:rsidRPr="002467D9">
              <w:rPr>
                <w:rFonts w:cstheme="minorHAnsi"/>
                <w:sz w:val="28"/>
                <w:szCs w:val="28"/>
              </w:rPr>
              <w:t>Question / Answer / Question.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2467D9">
              <w:rPr>
                <w:rFonts w:cstheme="minorHAnsi"/>
                <w:sz w:val="28"/>
                <w:szCs w:val="28"/>
              </w:rPr>
              <w:t>Discussion and engagement</w:t>
            </w:r>
          </w:p>
        </w:tc>
      </w:tr>
      <w:tr w:rsidR="00487FD2" w:rsidTr="00A74CDB">
        <w:tc>
          <w:tcPr>
            <w:tcW w:w="2469" w:type="dxa"/>
            <w:shd w:val="clear" w:color="auto" w:fill="F79646"/>
            <w:vAlign w:val="center"/>
          </w:tcPr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lastRenderedPageBreak/>
              <w:t>AT3</w:t>
            </w:r>
          </w:p>
          <w:p w:rsidR="00487FD2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487FD2" w:rsidRPr="00E50D50" w:rsidRDefault="00487FD2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62F829" wp14:editId="5DD7177B">
                  <wp:extent cx="1431154" cy="965434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1" t="4968" r="3607" b="4007"/>
                          <a:stretch/>
                        </pic:blipFill>
                        <pic:spPr bwMode="auto">
                          <a:xfrm>
                            <a:off x="0" y="0"/>
                            <a:ext cx="1459449" cy="98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  <w:vAlign w:val="center"/>
          </w:tcPr>
          <w:p w:rsidR="00487FD2" w:rsidRPr="00F849F5" w:rsidRDefault="00487FD2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e</w:t>
            </w:r>
            <w:r w:rsidRPr="00F849F5">
              <w:rPr>
                <w:rFonts w:ascii="Twinkl" w:hAnsi="Twinkl"/>
                <w:sz w:val="28"/>
                <w:szCs w:val="28"/>
              </w:rPr>
              <w:t xml:space="preserve">xpress </w:t>
            </w:r>
            <w:r>
              <w:rPr>
                <w:rFonts w:ascii="Twinkl" w:hAnsi="Twinkl"/>
                <w:sz w:val="28"/>
                <w:szCs w:val="28"/>
              </w:rPr>
              <w:t>different points of view (</w:t>
            </w:r>
            <w:proofErr w:type="spellStart"/>
            <w:r>
              <w:rPr>
                <w:rFonts w:ascii="Twinkl" w:hAnsi="Twinkl"/>
                <w:sz w:val="28"/>
                <w:szCs w:val="28"/>
              </w:rPr>
              <w:t>i</w:t>
            </w:r>
            <w:proofErr w:type="spellEnd"/>
            <w:r>
              <w:rPr>
                <w:rFonts w:ascii="Twinkl" w:hAnsi="Twinkl"/>
                <w:sz w:val="28"/>
                <w:szCs w:val="28"/>
              </w:rPr>
              <w:t>)</w:t>
            </w:r>
          </w:p>
          <w:p w:rsidR="00487FD2" w:rsidRPr="00F849F5" w:rsidRDefault="00487FD2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487FD2" w:rsidRPr="00F849F5" w:rsidRDefault="00487FD2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use sources to support some points of view (ii)</w:t>
            </w:r>
          </w:p>
          <w:p w:rsidR="00487FD2" w:rsidRPr="00F849F5" w:rsidRDefault="00487FD2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487FD2" w:rsidRPr="00082D35" w:rsidRDefault="00487FD2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arrive at judgements (iii)</w:t>
            </w:r>
          </w:p>
        </w:tc>
        <w:tc>
          <w:tcPr>
            <w:tcW w:w="3585" w:type="dxa"/>
            <w:vAlign w:val="center"/>
          </w:tcPr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2467D9">
              <w:rPr>
                <w:rFonts w:ascii="Twinkl" w:hAnsi="Twinkl"/>
                <w:sz w:val="28"/>
                <w:szCs w:val="28"/>
              </w:rPr>
              <w:t>This reminds me of… and this is similar to the prayer of….</w:t>
            </w:r>
          </w:p>
          <w:p w:rsidR="00487FD2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I prefer</w:t>
            </w:r>
            <w:r>
              <w:rPr>
                <w:rFonts w:ascii="Twinkl" w:hAnsi="Twinkl"/>
                <w:sz w:val="28"/>
                <w:szCs w:val="28"/>
              </w:rPr>
              <w:t>.</w:t>
            </w:r>
            <w:r w:rsidRPr="005D3D60">
              <w:rPr>
                <w:rFonts w:ascii="Twinkl" w:hAnsi="Twinkl"/>
                <w:sz w:val="28"/>
                <w:szCs w:val="28"/>
              </w:rPr>
              <w:t>.. because</w:t>
            </w:r>
            <w:r>
              <w:rPr>
                <w:rFonts w:ascii="Twinkl" w:hAnsi="Twinkl"/>
                <w:sz w:val="28"/>
                <w:szCs w:val="28"/>
              </w:rPr>
              <w:t>.</w:t>
            </w:r>
            <w:r w:rsidRPr="005D3D60">
              <w:rPr>
                <w:rFonts w:ascii="Twinkl" w:hAnsi="Twinkl"/>
                <w:sz w:val="28"/>
                <w:szCs w:val="28"/>
              </w:rPr>
              <w:t>..</w:t>
            </w:r>
          </w:p>
          <w:p w:rsidR="00487FD2" w:rsidRPr="002467D9" w:rsidRDefault="00487FD2" w:rsidP="00A74CDB">
            <w:pPr>
              <w:rPr>
                <w:rFonts w:cstheme="minorHAnsi"/>
                <w:sz w:val="28"/>
                <w:szCs w:val="28"/>
              </w:rPr>
            </w:pPr>
            <w:r w:rsidRPr="002467D9">
              <w:rPr>
                <w:rFonts w:cstheme="minorHAnsi"/>
                <w:sz w:val="28"/>
                <w:szCs w:val="28"/>
              </w:rPr>
              <w:t>Share viewpoints and some judgements.</w:t>
            </w:r>
          </w:p>
          <w:p w:rsidR="00487FD2" w:rsidRPr="005D3D60" w:rsidRDefault="00487FD2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2467D9">
              <w:rPr>
                <w:rFonts w:cstheme="minorHAnsi"/>
                <w:sz w:val="28"/>
                <w:szCs w:val="28"/>
              </w:rPr>
              <w:t>Use evidence to support opinion and point of view.</w:t>
            </w:r>
          </w:p>
        </w:tc>
      </w:tr>
    </w:tbl>
    <w:p w:rsidR="00487FD2" w:rsidRDefault="00487FD2" w:rsidP="00487FD2"/>
    <w:p w:rsidR="00487FD2" w:rsidRDefault="00487FD2">
      <w:pPr>
        <w:rPr>
          <w:sz w:val="28"/>
          <w:szCs w:val="28"/>
        </w:rPr>
      </w:pPr>
      <w:bookmarkStart w:id="0" w:name="_GoBack"/>
      <w:bookmarkEnd w:id="0"/>
    </w:p>
    <w:sectPr w:rsidR="00487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8"/>
    <w:rsid w:val="000979A6"/>
    <w:rsid w:val="003062E4"/>
    <w:rsid w:val="00487FD2"/>
    <w:rsid w:val="00511A48"/>
    <w:rsid w:val="00513163"/>
    <w:rsid w:val="005A6442"/>
    <w:rsid w:val="00863C10"/>
    <w:rsid w:val="00AC2848"/>
    <w:rsid w:val="00D04C4C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375A"/>
  <w15:chartTrackingRefBased/>
  <w15:docId w15:val="{73956D03-6115-4B72-AF7A-A21B7776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3</cp:revision>
  <dcterms:created xsi:type="dcterms:W3CDTF">2021-10-25T13:00:00Z</dcterms:created>
  <dcterms:modified xsi:type="dcterms:W3CDTF">2021-10-25T13:37:00Z</dcterms:modified>
</cp:coreProperties>
</file>