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 xml:space="preserve">End of year expectations – Year </w:t>
      </w:r>
      <w:r w:rsidR="00B64DA3">
        <w:rPr>
          <w:sz w:val="28"/>
          <w:szCs w:val="28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4022"/>
        <w:gridCol w:w="2732"/>
      </w:tblGrid>
      <w:tr w:rsidR="00B64DA3" w:rsidTr="00A74CDB">
        <w:trPr>
          <w:trHeight w:val="586"/>
        </w:trPr>
        <w:tc>
          <w:tcPr>
            <w:tcW w:w="2263" w:type="dxa"/>
            <w:shd w:val="clear" w:color="auto" w:fill="FFFFFF" w:themeFill="background1"/>
            <w:vAlign w:val="center"/>
          </w:tcPr>
          <w:p w:rsidR="00B64DA3" w:rsidRPr="00E50D5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5105" w:type="dxa"/>
            <w:vAlign w:val="center"/>
          </w:tcPr>
          <w:p w:rsidR="00B64DA3" w:rsidRPr="00E50D5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Five This Means</w:t>
            </w:r>
          </w:p>
        </w:tc>
        <w:tc>
          <w:tcPr>
            <w:tcW w:w="3271" w:type="dxa"/>
            <w:vAlign w:val="center"/>
          </w:tcPr>
          <w:p w:rsidR="00B64DA3" w:rsidRPr="005D3D6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B64DA3" w:rsidTr="00A74CDB">
        <w:trPr>
          <w:trHeight w:val="4556"/>
        </w:trPr>
        <w:tc>
          <w:tcPr>
            <w:tcW w:w="2263" w:type="dxa"/>
            <w:shd w:val="clear" w:color="auto" w:fill="DAEEF3"/>
            <w:vAlign w:val="center"/>
          </w:tcPr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B64DA3" w:rsidRPr="00E50D5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F7472A" wp14:editId="5171F604">
                  <wp:extent cx="1226820" cy="1648041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88" t="4435" r="3288" b="2742"/>
                          <a:stretch/>
                        </pic:blipFill>
                        <pic:spPr bwMode="auto">
                          <a:xfrm>
                            <a:off x="0" y="0"/>
                            <a:ext cx="1258806" cy="169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</w:tcPr>
          <w:p w:rsidR="00B64DA3" w:rsidRPr="00126692" w:rsidRDefault="00B64DA3" w:rsidP="00A74CDB">
            <w:pPr>
              <w:rPr>
                <w:rFonts w:ascii="Twinkl" w:eastAsia="Calibri" w:hAnsi="Twinkl" w:cs="Times New Roman"/>
                <w:sz w:val="24"/>
                <w:szCs w:val="28"/>
              </w:rPr>
            </w:pP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I can securely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 xml:space="preserve">make links between most 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>religious stories and people I have shared/</w:t>
            </w:r>
            <w:r>
              <w:rPr>
                <w:rFonts w:ascii="Twinkl" w:eastAsia="Calibri" w:hAnsi="Twinkl" w:cs="Times New Roman"/>
                <w:sz w:val="24"/>
                <w:szCs w:val="28"/>
              </w:rPr>
              <w:t xml:space="preserve"> 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learnt about and beliefs and begin to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describe them to show understanding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>. (</w:t>
            </w:r>
            <w:proofErr w:type="spellStart"/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>i</w:t>
            </w:r>
            <w:proofErr w:type="spellEnd"/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)    </w:t>
            </w:r>
          </w:p>
          <w:p w:rsidR="00B64DA3" w:rsidRPr="00126692" w:rsidRDefault="00B64DA3" w:rsidP="00A74CDB">
            <w:pPr>
              <w:rPr>
                <w:rFonts w:ascii="Twinkl" w:hAnsi="Twinkl"/>
                <w:b/>
                <w:bCs/>
                <w:sz w:val="24"/>
                <w:szCs w:val="28"/>
              </w:rPr>
            </w:pPr>
            <w:r w:rsidRPr="00126692">
              <w:rPr>
                <w:rFonts w:ascii="Twinkl" w:hAnsi="Twinkl"/>
                <w:b/>
                <w:bCs/>
                <w:sz w:val="24"/>
                <w:szCs w:val="28"/>
              </w:rPr>
              <w:t>Make links</w:t>
            </w: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</w:p>
          <w:p w:rsidR="00B64DA3" w:rsidRPr="00126692" w:rsidRDefault="00B64DA3" w:rsidP="00A74CDB">
            <w:pPr>
              <w:rPr>
                <w:rFonts w:ascii="Twinkl" w:eastAsia="Calibri" w:hAnsi="Twinkl" w:cs="Times New Roman"/>
                <w:sz w:val="24"/>
                <w:szCs w:val="28"/>
              </w:rPr>
            </w:pP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I can use a developing religious vocabulary to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give reasons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 for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most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</w:rPr>
              <w:t xml:space="preserve"> 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religious actions and symbols, within different liturgies. (ii)   </w:t>
            </w:r>
          </w:p>
          <w:p w:rsidR="00B64DA3" w:rsidRPr="00126692" w:rsidRDefault="00B64DA3" w:rsidP="00A74CDB">
            <w:pPr>
              <w:rPr>
                <w:rFonts w:ascii="Twinkl" w:hAnsi="Twinkl"/>
                <w:b/>
                <w:bCs/>
                <w:sz w:val="24"/>
                <w:szCs w:val="28"/>
              </w:rPr>
            </w:pPr>
            <w:r w:rsidRPr="00126692">
              <w:rPr>
                <w:rFonts w:ascii="Twinkl" w:hAnsi="Twinkl"/>
                <w:b/>
                <w:bCs/>
                <w:sz w:val="24"/>
                <w:szCs w:val="28"/>
              </w:rPr>
              <w:t>Give reasons</w:t>
            </w: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I can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give religious reasons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 for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most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</w:rPr>
              <w:t xml:space="preserve"> 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actions by believers and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begin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 to show how they shape believers’ lives. (iii)    </w:t>
            </w:r>
            <w:r w:rsidRPr="00126692">
              <w:rPr>
                <w:rFonts w:ascii="Twinkl" w:hAnsi="Twinkl"/>
                <w:b/>
                <w:bCs/>
                <w:sz w:val="24"/>
                <w:szCs w:val="28"/>
              </w:rPr>
              <w:t>Live it out</w:t>
            </w:r>
          </w:p>
        </w:tc>
        <w:tc>
          <w:tcPr>
            <w:tcW w:w="3271" w:type="dxa"/>
            <w:vAlign w:val="center"/>
          </w:tcPr>
          <w:p w:rsidR="00B64DA3" w:rsidRPr="00F854D4" w:rsidRDefault="00B64DA3" w:rsidP="00A74CDB">
            <w:pPr>
              <w:spacing w:after="120"/>
              <w:rPr>
                <w:rFonts w:ascii="Twinkl" w:hAnsi="Twinkl"/>
                <w:b/>
                <w:sz w:val="24"/>
                <w:szCs w:val="28"/>
              </w:rPr>
            </w:pPr>
            <w:r w:rsidRPr="00F854D4">
              <w:rPr>
                <w:rFonts w:ascii="Twinkl" w:hAnsi="Twinkl"/>
                <w:b/>
                <w:sz w:val="24"/>
                <w:szCs w:val="28"/>
              </w:rPr>
              <w:t xml:space="preserve">Both links and reasons can </w:t>
            </w:r>
            <w:r>
              <w:rPr>
                <w:rFonts w:ascii="Twinkl" w:hAnsi="Twinkl"/>
                <w:b/>
                <w:sz w:val="24"/>
                <w:szCs w:val="28"/>
              </w:rPr>
              <w:t xml:space="preserve">be </w:t>
            </w:r>
            <w:r w:rsidRPr="00F854D4">
              <w:rPr>
                <w:rFonts w:ascii="Twinkl" w:hAnsi="Twinkl"/>
                <w:b/>
                <w:sz w:val="24"/>
                <w:szCs w:val="28"/>
              </w:rPr>
              <w:t xml:space="preserve">shaped by </w:t>
            </w:r>
            <w:r>
              <w:rPr>
                <w:rFonts w:ascii="Twinkl" w:hAnsi="Twinkl"/>
                <w:b/>
                <w:sz w:val="24"/>
                <w:szCs w:val="28"/>
              </w:rPr>
              <w:t xml:space="preserve">some of </w:t>
            </w:r>
            <w:r w:rsidRPr="00F854D4">
              <w:rPr>
                <w:rFonts w:ascii="Twinkl" w:hAnsi="Twinkl"/>
                <w:b/>
                <w:sz w:val="24"/>
                <w:szCs w:val="28"/>
              </w:rPr>
              <w:t>the following statements;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In the words of Pope Francis…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 xml:space="preserve">This links to the words of the Hail Mary because... 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 xml:space="preserve">In the Bible, we are told…. 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As it tells us in Our Father….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The Sacrament of Reconciliation allows us to….</w:t>
            </w:r>
          </w:p>
        </w:tc>
      </w:tr>
      <w:tr w:rsidR="00B64DA3" w:rsidTr="00A74CDB">
        <w:trPr>
          <w:trHeight w:val="3543"/>
        </w:trPr>
        <w:tc>
          <w:tcPr>
            <w:tcW w:w="2263" w:type="dxa"/>
            <w:shd w:val="clear" w:color="auto" w:fill="92D050"/>
            <w:vAlign w:val="center"/>
          </w:tcPr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B64DA3" w:rsidRPr="00E50D5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F7D68A" wp14:editId="0DEE32DE">
                  <wp:extent cx="1247775" cy="1076991"/>
                  <wp:effectExtent l="0" t="0" r="0" b="889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3" t="2761" r="3277" b="2454"/>
                          <a:stretch/>
                        </pic:blipFill>
                        <pic:spPr bwMode="auto">
                          <a:xfrm>
                            <a:off x="0" y="0"/>
                            <a:ext cx="1265608" cy="1092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  <w:vAlign w:val="center"/>
          </w:tcPr>
          <w:p w:rsidR="00B64DA3" w:rsidRPr="00126692" w:rsidRDefault="00B64DA3" w:rsidP="00A74CDB">
            <w:pPr>
              <w:ind w:right="178"/>
              <w:contextualSpacing/>
              <w:jc w:val="both"/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</w:pPr>
            <w:r w:rsidRPr="00126692"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  <w:t xml:space="preserve">I can make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many links</w:t>
            </w:r>
            <w:r w:rsidRPr="00126692"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  <w:t xml:space="preserve"> to show how feelings and beliefs affect my behaviour and that of others and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begin to show how</w:t>
            </w:r>
            <w:r w:rsidRPr="00126692"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  <w:t xml:space="preserve"> my own and others’ decisions are informed by beliefs and values.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 (</w:t>
            </w:r>
            <w:proofErr w:type="spellStart"/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>i</w:t>
            </w:r>
            <w:proofErr w:type="spellEnd"/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)   </w:t>
            </w: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 xml:space="preserve">I am able to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compare most</w:t>
            </w:r>
            <w:r w:rsidRPr="00126692"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  <w:t xml:space="preserve"> of my own and other people’s ideas about questions that are difficult to answer. I can 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  <w:u w:val="single"/>
              </w:rPr>
              <w:t>begin to engage in discussion</w:t>
            </w:r>
            <w:r w:rsidRPr="00126692">
              <w:rPr>
                <w:rFonts w:ascii="Twinkl" w:eastAsia="Calibri" w:hAnsi="Twinkl" w:cs="Times New Roman"/>
                <w:b/>
                <w:sz w:val="24"/>
                <w:szCs w:val="28"/>
              </w:rPr>
              <w:t xml:space="preserve"> </w:t>
            </w:r>
            <w:r w:rsidRPr="00126692">
              <w:rPr>
                <w:rFonts w:ascii="Twinkl" w:eastAsia="Times New Roman" w:hAnsi="Twinkl" w:cs="Times New Roman"/>
                <w:sz w:val="24"/>
                <w:szCs w:val="28"/>
                <w:lang w:eastAsia="en-GB"/>
              </w:rPr>
              <w:t>about questions of life, in light of religious teaching.</w:t>
            </w:r>
            <w:r w:rsidRPr="00126692">
              <w:rPr>
                <w:rFonts w:ascii="Twinkl" w:eastAsia="Calibri" w:hAnsi="Twinkl" w:cs="Times New Roman"/>
                <w:sz w:val="24"/>
                <w:szCs w:val="28"/>
              </w:rPr>
              <w:t xml:space="preserve"> (ii)   </w:t>
            </w:r>
          </w:p>
        </w:tc>
        <w:tc>
          <w:tcPr>
            <w:tcW w:w="3271" w:type="dxa"/>
            <w:vAlign w:val="center"/>
          </w:tcPr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 xml:space="preserve">In following the footsteps of Jesus, I can…. 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 xml:space="preserve">By following my Christian beliefs, I can… </w:t>
            </w:r>
          </w:p>
          <w:p w:rsidR="00B64DA3" w:rsidRPr="002467D9" w:rsidRDefault="00B64DA3" w:rsidP="00A74CDB">
            <w:pPr>
              <w:spacing w:after="120"/>
              <w:rPr>
                <w:rFonts w:ascii="Twinkl" w:hAnsi="Twinkl"/>
                <w:i/>
                <w:sz w:val="24"/>
                <w:szCs w:val="28"/>
              </w:rPr>
            </w:pPr>
            <w:r>
              <w:rPr>
                <w:rFonts w:ascii="Twinkl" w:hAnsi="Twinkl"/>
                <w:sz w:val="24"/>
                <w:szCs w:val="28"/>
              </w:rPr>
              <w:t xml:space="preserve">For example; </w:t>
            </w:r>
            <w:r w:rsidRPr="002467D9">
              <w:rPr>
                <w:rFonts w:ascii="Twinkl" w:hAnsi="Twinkl"/>
                <w:i/>
                <w:sz w:val="24"/>
                <w:szCs w:val="28"/>
              </w:rPr>
              <w:t>having compared my ideas with Sean Devereux I would also...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</w:p>
          <w:p w:rsidR="00B64DA3" w:rsidRPr="002467D9" w:rsidRDefault="00B64DA3" w:rsidP="00A74CDB">
            <w:pPr>
              <w:rPr>
                <w:rFonts w:cstheme="minorHAnsi"/>
                <w:sz w:val="24"/>
              </w:rPr>
            </w:pPr>
            <w:r w:rsidRPr="002467D9">
              <w:rPr>
                <w:rFonts w:cstheme="minorHAnsi"/>
                <w:sz w:val="24"/>
              </w:rPr>
              <w:t>Make different connections between feelings and sources.</w:t>
            </w:r>
          </w:p>
          <w:p w:rsidR="00B64DA3" w:rsidRPr="002467D9" w:rsidRDefault="00B64DA3" w:rsidP="00A74CDB">
            <w:pPr>
              <w:rPr>
                <w:rFonts w:cstheme="minorHAnsi"/>
                <w:sz w:val="24"/>
              </w:rPr>
            </w:pPr>
            <w:r w:rsidRPr="002467D9">
              <w:rPr>
                <w:rFonts w:cstheme="minorHAnsi"/>
                <w:sz w:val="24"/>
              </w:rPr>
              <w:t>Choices / decisions and say why.</w:t>
            </w:r>
          </w:p>
          <w:p w:rsidR="00B64DA3" w:rsidRPr="002467D9" w:rsidRDefault="00B64DA3" w:rsidP="00A74CDB">
            <w:pPr>
              <w:rPr>
                <w:rFonts w:cstheme="minorHAnsi"/>
                <w:sz w:val="24"/>
              </w:rPr>
            </w:pPr>
            <w:r w:rsidRPr="002467D9">
              <w:rPr>
                <w:rFonts w:cstheme="minorHAnsi"/>
                <w:sz w:val="24"/>
              </w:rPr>
              <w:t>Match answers to questions.</w:t>
            </w:r>
          </w:p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2467D9">
              <w:rPr>
                <w:rFonts w:cstheme="minorHAnsi"/>
                <w:sz w:val="24"/>
              </w:rPr>
              <w:t>Think / Link</w:t>
            </w:r>
          </w:p>
        </w:tc>
      </w:tr>
      <w:tr w:rsidR="00B64DA3" w:rsidTr="00A74CDB">
        <w:tc>
          <w:tcPr>
            <w:tcW w:w="2263" w:type="dxa"/>
            <w:shd w:val="clear" w:color="auto" w:fill="F79646"/>
            <w:vAlign w:val="center"/>
          </w:tcPr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AT3</w:t>
            </w:r>
          </w:p>
          <w:p w:rsidR="00B64DA3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B64DA3" w:rsidRPr="00E50D50" w:rsidRDefault="00B64DA3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22341C" wp14:editId="6935D842">
                  <wp:extent cx="1296670" cy="874211"/>
                  <wp:effectExtent l="0" t="0" r="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3" t="7550" r="2550" b="5085"/>
                          <a:stretch/>
                        </pic:blipFill>
                        <pic:spPr bwMode="auto">
                          <a:xfrm>
                            <a:off x="0" y="0"/>
                            <a:ext cx="1322612" cy="891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5" w:type="dxa"/>
            <w:vAlign w:val="center"/>
          </w:tcPr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I can express a point of view and give many reasons for it (</w:t>
            </w:r>
            <w:proofErr w:type="spellStart"/>
            <w:r w:rsidRPr="00126692">
              <w:rPr>
                <w:rFonts w:ascii="Twinkl" w:hAnsi="Twinkl"/>
                <w:sz w:val="24"/>
                <w:szCs w:val="28"/>
              </w:rPr>
              <w:t>i</w:t>
            </w:r>
            <w:proofErr w:type="spellEnd"/>
            <w:r w:rsidRPr="00126692">
              <w:rPr>
                <w:rFonts w:ascii="Twinkl" w:hAnsi="Twinkl"/>
                <w:sz w:val="24"/>
                <w:szCs w:val="28"/>
              </w:rPr>
              <w:t>)</w:t>
            </w: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I can make a link to many sources that support a point of view (ii)</w:t>
            </w: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</w:p>
          <w:p w:rsidR="00B64DA3" w:rsidRPr="00126692" w:rsidRDefault="00B64DA3" w:rsidP="00A74CDB">
            <w:pPr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I can begin to arrive at judgements (iii)</w:t>
            </w:r>
          </w:p>
        </w:tc>
        <w:tc>
          <w:tcPr>
            <w:tcW w:w="3271" w:type="dxa"/>
            <w:vAlign w:val="center"/>
          </w:tcPr>
          <w:p w:rsidR="00B64DA3" w:rsidRPr="00126692" w:rsidRDefault="00B64DA3" w:rsidP="00A74CDB">
            <w:pPr>
              <w:spacing w:after="120"/>
              <w:rPr>
                <w:rFonts w:ascii="Twinkl" w:hAnsi="Twinkl"/>
                <w:sz w:val="24"/>
                <w:szCs w:val="28"/>
              </w:rPr>
            </w:pPr>
            <w:r w:rsidRPr="00126692">
              <w:rPr>
                <w:rFonts w:ascii="Twinkl" w:hAnsi="Twinkl"/>
                <w:sz w:val="24"/>
                <w:szCs w:val="28"/>
              </w:rPr>
              <w:t>This reminds me of…</w:t>
            </w:r>
            <w:r>
              <w:rPr>
                <w:rFonts w:ascii="Twinkl" w:hAnsi="Twinkl"/>
                <w:sz w:val="24"/>
                <w:szCs w:val="28"/>
              </w:rPr>
              <w:t xml:space="preserve"> and this is similar to the prayer of….</w:t>
            </w:r>
          </w:p>
          <w:p w:rsidR="00B64DA3" w:rsidRDefault="00B64DA3" w:rsidP="00A74CDB">
            <w:pPr>
              <w:spacing w:after="120"/>
              <w:rPr>
                <w:rFonts w:cstheme="minorHAnsi"/>
                <w:sz w:val="24"/>
              </w:rPr>
            </w:pPr>
            <w:r w:rsidRPr="002467D9">
              <w:rPr>
                <w:rFonts w:cstheme="minorHAnsi"/>
                <w:sz w:val="24"/>
              </w:rPr>
              <w:t>Give their point of view, back this up with a source.</w:t>
            </w:r>
          </w:p>
          <w:p w:rsidR="00B64DA3" w:rsidRDefault="00B64DA3" w:rsidP="00A74CDB">
            <w:pPr>
              <w:spacing w:after="120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lastRenderedPageBreak/>
              <w:t>Come to an opinion / vote on this?</w:t>
            </w:r>
          </w:p>
          <w:p w:rsidR="00B64DA3" w:rsidRPr="002467D9" w:rsidRDefault="00B64DA3" w:rsidP="00A74CDB">
            <w:pPr>
              <w:spacing w:after="120"/>
              <w:rPr>
                <w:rFonts w:cstheme="minorHAnsi"/>
                <w:sz w:val="24"/>
                <w:szCs w:val="28"/>
              </w:rPr>
            </w:pPr>
          </w:p>
        </w:tc>
      </w:tr>
    </w:tbl>
    <w:p w:rsidR="00B64DA3" w:rsidRDefault="00B64DA3" w:rsidP="00B64DA3"/>
    <w:p w:rsidR="00B64DA3" w:rsidRDefault="00B64DA3">
      <w:pPr>
        <w:rPr>
          <w:sz w:val="28"/>
          <w:szCs w:val="28"/>
        </w:rPr>
      </w:pPr>
      <w:bookmarkStart w:id="0" w:name="_GoBack"/>
      <w:bookmarkEnd w:id="0"/>
    </w:p>
    <w:sectPr w:rsidR="00B64D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3062E4"/>
    <w:rsid w:val="00511A48"/>
    <w:rsid w:val="00513163"/>
    <w:rsid w:val="005A6442"/>
    <w:rsid w:val="00863C10"/>
    <w:rsid w:val="00B64DA3"/>
    <w:rsid w:val="00D04C4C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68271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3</cp:revision>
  <dcterms:created xsi:type="dcterms:W3CDTF">2021-10-25T13:00:00Z</dcterms:created>
  <dcterms:modified xsi:type="dcterms:W3CDTF">2021-10-25T13:36:00Z</dcterms:modified>
</cp:coreProperties>
</file>